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53A0" w:rsidRDefault="00D17E75">
      <w:pPr>
        <w:jc w:val="center"/>
        <w:rPr>
          <w:rFonts w:ascii="Comic Sans MS" w:eastAsia="Comic Sans MS" w:hAnsi="Comic Sans MS" w:cs="Comic Sans MS"/>
          <w:b/>
          <w:i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b/>
          <w:i/>
          <w:sz w:val="48"/>
          <w:szCs w:val="48"/>
          <w:u w:val="single"/>
        </w:rPr>
        <w:t xml:space="preserve">Estatutos de la asociación </w:t>
      </w:r>
      <w:proofErr w:type="spellStart"/>
      <w:r>
        <w:rPr>
          <w:rFonts w:ascii="Comic Sans MS" w:eastAsia="Comic Sans MS" w:hAnsi="Comic Sans MS" w:cs="Comic Sans MS"/>
          <w:b/>
          <w:i/>
          <w:sz w:val="48"/>
          <w:szCs w:val="48"/>
          <w:u w:val="single"/>
        </w:rPr>
        <w:t>Inmakoré</w:t>
      </w:r>
      <w:proofErr w:type="spellEnd"/>
    </w:p>
    <w:p w14:paraId="00000002" w14:textId="77777777" w:rsidR="004153A0" w:rsidRDefault="004153A0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3" w14:textId="77777777" w:rsidR="004153A0" w:rsidRDefault="00D17E75">
      <w:pPr>
        <w:numPr>
          <w:ilvl w:val="0"/>
          <w:numId w:val="2"/>
        </w:numPr>
        <w:tabs>
          <w:tab w:val="left" w:pos="360"/>
        </w:tabs>
        <w:spacing w:line="240" w:lineRule="auto"/>
        <w:ind w:left="360" w:firstLine="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Capítulo 1: 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Denominación y ámbito social de actuación</w:t>
      </w:r>
    </w:p>
    <w:p w14:paraId="00000004" w14:textId="77777777" w:rsidR="004153A0" w:rsidRDefault="004153A0">
      <w:pPr>
        <w:tabs>
          <w:tab w:val="left" w:pos="360"/>
        </w:tabs>
        <w:spacing w:line="240" w:lineRule="auto"/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00000005" w14:textId="77777777" w:rsidR="004153A0" w:rsidRDefault="00D17E75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1. Nombre y razón social.</w:t>
      </w:r>
    </w:p>
    <w:p w14:paraId="00000006" w14:textId="77777777" w:rsidR="004153A0" w:rsidRDefault="00D17E75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Se constituye la asociación sin ánimo de lucro con el nombre de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Inmakoré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, dentro del proyecto Jóvenes Emprendedores Sociales, con normas que se establecen en los presentes estatutos.</w:t>
      </w:r>
    </w:p>
    <w:p w14:paraId="00000007" w14:textId="77777777" w:rsidR="004153A0" w:rsidRDefault="004153A0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08" w14:textId="77777777" w:rsidR="004153A0" w:rsidRDefault="00D17E75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2. Objeto social.</w:t>
      </w:r>
    </w:p>
    <w:p w14:paraId="00000009" w14:textId="77777777" w:rsidR="004153A0" w:rsidRDefault="00D17E75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La asociación se crea con los siguientes fine</w:t>
      </w:r>
      <w:r>
        <w:rPr>
          <w:rFonts w:ascii="Comic Sans MS" w:eastAsia="Comic Sans MS" w:hAnsi="Comic Sans MS" w:cs="Comic Sans MS"/>
          <w:sz w:val="28"/>
          <w:szCs w:val="28"/>
        </w:rPr>
        <w:t>s:</w:t>
      </w:r>
    </w:p>
    <w:p w14:paraId="0000000A" w14:textId="77777777" w:rsidR="004153A0" w:rsidRDefault="00D17E75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·      Aprender a crear y gestionar una ONG.</w:t>
      </w:r>
    </w:p>
    <w:p w14:paraId="0000000B" w14:textId="77777777" w:rsidR="004153A0" w:rsidRDefault="00D17E75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·      Colaborar en la financiación de un proyecto social en el país y el centro escolar asignado por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Valnalón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</w:p>
    <w:p w14:paraId="0000000C" w14:textId="77777777" w:rsidR="004153A0" w:rsidRDefault="004153A0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0D" w14:textId="77777777" w:rsidR="004153A0" w:rsidRDefault="00D17E75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3. Duración.</w:t>
      </w:r>
    </w:p>
    <w:p w14:paraId="0000000E" w14:textId="77777777" w:rsidR="004153A0" w:rsidRDefault="00D17E75">
      <w:pPr>
        <w:tabs>
          <w:tab w:val="left" w:pos="36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La asociación se constituye desde el día 4 de diciembre de 2020 hasta el</w:t>
      </w:r>
      <w:r>
        <w:rPr>
          <w:rFonts w:ascii="Comic Sans MS" w:eastAsia="Comic Sans MS" w:hAnsi="Comic Sans MS" w:cs="Comic Sans MS"/>
          <w:sz w:val="28"/>
          <w:szCs w:val="28"/>
        </w:rPr>
        <w:t xml:space="preserve"> día que los socios decidan que debe cesar la actividad.</w:t>
      </w:r>
    </w:p>
    <w:p w14:paraId="0000000F" w14:textId="77777777" w:rsidR="004153A0" w:rsidRDefault="004153A0">
      <w:pPr>
        <w:tabs>
          <w:tab w:val="left" w:pos="36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10" w14:textId="77777777" w:rsidR="004153A0" w:rsidRDefault="00D17E75">
      <w:pPr>
        <w:numPr>
          <w:ilvl w:val="0"/>
          <w:numId w:val="6"/>
        </w:numPr>
        <w:tabs>
          <w:tab w:val="left" w:pos="360"/>
        </w:tabs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Capítulo 2: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Domicilio social</w:t>
      </w:r>
    </w:p>
    <w:p w14:paraId="00000011" w14:textId="77777777" w:rsidR="004153A0" w:rsidRDefault="004153A0">
      <w:pPr>
        <w:tabs>
          <w:tab w:val="left" w:pos="360"/>
        </w:tabs>
        <w:spacing w:line="240" w:lineRule="auto"/>
        <w:ind w:left="360"/>
        <w:rPr>
          <w:rFonts w:ascii="Comic Sans MS" w:eastAsia="Comic Sans MS" w:hAnsi="Comic Sans MS" w:cs="Comic Sans MS"/>
          <w:sz w:val="28"/>
          <w:szCs w:val="28"/>
        </w:rPr>
      </w:pPr>
    </w:p>
    <w:p w14:paraId="00000012" w14:textId="77777777" w:rsidR="004153A0" w:rsidRDefault="00D17E75">
      <w:pPr>
        <w:tabs>
          <w:tab w:val="left" w:pos="360"/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4. Domicilio.</w:t>
      </w:r>
    </w:p>
    <w:p w14:paraId="00000013" w14:textId="77777777" w:rsidR="004153A0" w:rsidRDefault="00D17E75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El domicilio social queda establecido en el Colegio Inmaculada de Gijón, c/Hermanos Felgueroso nº 25.</w:t>
      </w:r>
    </w:p>
    <w:p w14:paraId="00000014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5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6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7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8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9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1A" w14:textId="77777777" w:rsidR="004153A0" w:rsidRDefault="00D17E75">
      <w:pPr>
        <w:numPr>
          <w:ilvl w:val="0"/>
          <w:numId w:val="3"/>
        </w:numPr>
        <w:tabs>
          <w:tab w:val="left" w:pos="360"/>
          <w:tab w:val="left" w:pos="720"/>
        </w:tabs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lastRenderedPageBreak/>
        <w:t xml:space="preserve">Capítulo 3: 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Régimen económico</w:t>
      </w:r>
    </w:p>
    <w:p w14:paraId="0000001B" w14:textId="77777777" w:rsidR="004153A0" w:rsidRDefault="004153A0">
      <w:pPr>
        <w:tabs>
          <w:tab w:val="left" w:pos="360"/>
        </w:tabs>
        <w:spacing w:line="240" w:lineRule="auto"/>
        <w:ind w:left="360"/>
        <w:rPr>
          <w:rFonts w:ascii="Comic Sans MS" w:eastAsia="Comic Sans MS" w:hAnsi="Comic Sans MS" w:cs="Comic Sans MS"/>
          <w:sz w:val="36"/>
          <w:szCs w:val="36"/>
        </w:rPr>
      </w:pPr>
    </w:p>
    <w:p w14:paraId="0000001C" w14:textId="77777777" w:rsidR="004153A0" w:rsidRDefault="00D17E75">
      <w:pPr>
        <w:tabs>
          <w:tab w:val="left" w:pos="360"/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5. Capital social.</w:t>
      </w:r>
    </w:p>
    <w:p w14:paraId="0000001D" w14:textId="77777777" w:rsidR="004153A0" w:rsidRDefault="00D17E75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El capital de inversión inicial por cada socio se fija en 5 euros. </w:t>
      </w:r>
    </w:p>
    <w:p w14:paraId="0000001E" w14:textId="77777777" w:rsidR="004153A0" w:rsidRDefault="00D17E75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Cada participación otorga a cada titular los siguientes derechos y obligaciones:</w:t>
      </w:r>
    </w:p>
    <w:p w14:paraId="0000001F" w14:textId="77777777" w:rsidR="004153A0" w:rsidRDefault="00D17E75">
      <w:pPr>
        <w:tabs>
          <w:tab w:val="left" w:pos="360"/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 Derecho a asistir y participar en debates y propuestas.</w:t>
      </w:r>
    </w:p>
    <w:p w14:paraId="00000020" w14:textId="77777777" w:rsidR="004153A0" w:rsidRDefault="00D17E75">
      <w:pPr>
        <w:tabs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 Derecho a ser elector y elegible.</w:t>
      </w:r>
    </w:p>
    <w:p w14:paraId="00000021" w14:textId="77777777" w:rsidR="004153A0" w:rsidRDefault="00D17E75">
      <w:pPr>
        <w:tabs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- Derecho a p</w:t>
      </w:r>
      <w:r>
        <w:rPr>
          <w:rFonts w:ascii="Comic Sans MS" w:eastAsia="Comic Sans MS" w:hAnsi="Comic Sans MS" w:cs="Comic Sans MS"/>
          <w:sz w:val="28"/>
          <w:szCs w:val="28"/>
        </w:rPr>
        <w:t>articipar en las actividades de la asociación.</w:t>
      </w:r>
    </w:p>
    <w:p w14:paraId="00000022" w14:textId="77777777" w:rsidR="004153A0" w:rsidRDefault="00D17E75">
      <w:pPr>
        <w:tabs>
          <w:tab w:val="left" w:pos="360"/>
          <w:tab w:val="left" w:pos="720"/>
        </w:tabs>
        <w:spacing w:line="240" w:lineRule="auto"/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- El deber de cumplir los acuerdos.      </w:t>
      </w:r>
    </w:p>
    <w:p w14:paraId="00000023" w14:textId="77777777" w:rsidR="004153A0" w:rsidRDefault="00D17E75">
      <w:pPr>
        <w:tabs>
          <w:tab w:val="left" w:pos="360"/>
          <w:tab w:val="left" w:pos="720"/>
        </w:tabs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- El deber de guardar secreto.</w:t>
      </w:r>
    </w:p>
    <w:p w14:paraId="00000024" w14:textId="77777777" w:rsidR="004153A0" w:rsidRDefault="00D17E75">
      <w:p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- El deber de aceptar los cargos.</w:t>
      </w:r>
    </w:p>
    <w:p w14:paraId="00000025" w14:textId="77777777" w:rsidR="004153A0" w:rsidRDefault="00D17E75">
      <w:p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- El deber de cumplir con las obligaciones económicas.</w:t>
      </w:r>
    </w:p>
    <w:p w14:paraId="00000026" w14:textId="77777777" w:rsidR="004153A0" w:rsidRDefault="004153A0">
      <w:p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27" w14:textId="77777777" w:rsidR="004153A0" w:rsidRDefault="00D17E75">
      <w:pPr>
        <w:tabs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6. Distribución de beneficios.</w:t>
      </w:r>
    </w:p>
    <w:p w14:paraId="00000028" w14:textId="77777777" w:rsidR="004153A0" w:rsidRDefault="00D17E75">
      <w:pPr>
        <w:tabs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Los beneficios obtenidos en el desarrollo de la actividad de la asociación serán destinados íntegramente a la financiación del proyecto social y será ad</w:t>
      </w:r>
      <w:r>
        <w:rPr>
          <w:rFonts w:ascii="Comic Sans MS" w:eastAsia="Comic Sans MS" w:hAnsi="Comic Sans MS" w:cs="Comic Sans MS"/>
          <w:sz w:val="28"/>
          <w:szCs w:val="28"/>
        </w:rPr>
        <w:t>ministrado por el tesorero.</w:t>
      </w:r>
    </w:p>
    <w:p w14:paraId="00000029" w14:textId="77777777" w:rsidR="004153A0" w:rsidRDefault="004153A0">
      <w:pPr>
        <w:tabs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2A" w14:textId="77777777" w:rsidR="004153A0" w:rsidRDefault="00D17E75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Capítulo 4: 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Órganos de la sociedad</w:t>
      </w:r>
    </w:p>
    <w:p w14:paraId="0000002B" w14:textId="77777777" w:rsidR="004153A0" w:rsidRDefault="004153A0">
      <w:pPr>
        <w:tabs>
          <w:tab w:val="left" w:pos="720"/>
        </w:tabs>
        <w:spacing w:line="240" w:lineRule="auto"/>
        <w:ind w:left="360"/>
        <w:rPr>
          <w:rFonts w:ascii="Comic Sans MS" w:eastAsia="Comic Sans MS" w:hAnsi="Comic Sans MS" w:cs="Comic Sans MS"/>
          <w:sz w:val="36"/>
          <w:szCs w:val="36"/>
        </w:rPr>
      </w:pPr>
    </w:p>
    <w:p w14:paraId="0000002C" w14:textId="77777777" w:rsidR="004153A0" w:rsidRDefault="00D17E75">
      <w:pPr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7. Régimen y organización de la asociación.</w:t>
      </w:r>
    </w:p>
    <w:p w14:paraId="0000002D" w14:textId="77777777" w:rsidR="004153A0" w:rsidRDefault="00D17E75">
      <w:pPr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Todos los miembros de la asociación colaborarán de igual manera en el proyecto, realizando las tareas oportunas para garantizar el cumplim</w:t>
      </w:r>
      <w:r>
        <w:rPr>
          <w:rFonts w:ascii="Comic Sans MS" w:eastAsia="Comic Sans MS" w:hAnsi="Comic Sans MS" w:cs="Comic Sans MS"/>
          <w:sz w:val="28"/>
          <w:szCs w:val="28"/>
        </w:rPr>
        <w:t>iento de los objetivos. Por decisión de la asamblea, se nombran los siguientes cargos:</w:t>
      </w:r>
    </w:p>
    <w:p w14:paraId="0000002E" w14:textId="77777777" w:rsidR="004153A0" w:rsidRDefault="004153A0">
      <w:pPr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2F" w14:textId="77777777" w:rsidR="004153A0" w:rsidRDefault="00D17E7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Presidente: D. Javier Luna Abreu</w:t>
      </w:r>
    </w:p>
    <w:p w14:paraId="00000030" w14:textId="77777777" w:rsidR="004153A0" w:rsidRDefault="00D17E7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Vicepresidente: Dª. Lucía Miranda Gutiérrez </w:t>
      </w:r>
    </w:p>
    <w:p w14:paraId="00000031" w14:textId="77777777" w:rsidR="004153A0" w:rsidRDefault="00D17E7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Tesorero: D. Miguel González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Ouzande</w:t>
      </w:r>
      <w:proofErr w:type="spellEnd"/>
    </w:p>
    <w:p w14:paraId="00000032" w14:textId="77777777" w:rsidR="004153A0" w:rsidRDefault="004153A0">
      <w:pPr>
        <w:spacing w:line="240" w:lineRule="auto"/>
        <w:ind w:left="1080"/>
        <w:rPr>
          <w:rFonts w:ascii="Comic Sans MS" w:eastAsia="Comic Sans MS" w:hAnsi="Comic Sans MS" w:cs="Comic Sans MS"/>
          <w:sz w:val="28"/>
          <w:szCs w:val="28"/>
        </w:rPr>
      </w:pPr>
    </w:p>
    <w:p w14:paraId="00000033" w14:textId="77777777" w:rsidR="004153A0" w:rsidRDefault="004153A0">
      <w:pPr>
        <w:spacing w:line="240" w:lineRule="auto"/>
        <w:ind w:left="1080"/>
        <w:rPr>
          <w:rFonts w:ascii="Comic Sans MS" w:eastAsia="Comic Sans MS" w:hAnsi="Comic Sans MS" w:cs="Comic Sans MS"/>
          <w:sz w:val="28"/>
          <w:szCs w:val="28"/>
        </w:rPr>
      </w:pPr>
    </w:p>
    <w:p w14:paraId="00000034" w14:textId="77777777" w:rsidR="004153A0" w:rsidRDefault="004153A0">
      <w:pPr>
        <w:spacing w:line="240" w:lineRule="auto"/>
        <w:ind w:left="1080"/>
        <w:rPr>
          <w:rFonts w:ascii="Comic Sans MS" w:eastAsia="Comic Sans MS" w:hAnsi="Comic Sans MS" w:cs="Comic Sans MS"/>
          <w:sz w:val="28"/>
          <w:szCs w:val="28"/>
        </w:rPr>
      </w:pPr>
    </w:p>
    <w:p w14:paraId="00000035" w14:textId="77777777" w:rsidR="004153A0" w:rsidRDefault="00D17E75">
      <w:pPr>
        <w:spacing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Artículo 8. Toma de decisiones.</w:t>
      </w:r>
    </w:p>
    <w:p w14:paraId="00000036" w14:textId="77777777" w:rsidR="004153A0" w:rsidRDefault="00D17E75">
      <w:pPr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Todas las decisiones serán tomadas de forma democrática mediante votación a mano alzada y respetando las decisiones de los demás.</w:t>
      </w:r>
    </w:p>
    <w:p w14:paraId="00000037" w14:textId="77777777" w:rsidR="004153A0" w:rsidRDefault="004153A0">
      <w:pPr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8" w14:textId="77777777" w:rsidR="004153A0" w:rsidRDefault="00D17E75">
      <w:pPr>
        <w:numPr>
          <w:ilvl w:val="0"/>
          <w:numId w:val="4"/>
        </w:num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Capítulo 5: 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Libros y contabilidad</w:t>
      </w:r>
    </w:p>
    <w:p w14:paraId="00000039" w14:textId="77777777" w:rsidR="004153A0" w:rsidRDefault="004153A0">
      <w:pPr>
        <w:spacing w:line="240" w:lineRule="auto"/>
        <w:ind w:left="360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0000003A" w14:textId="77777777" w:rsidR="004153A0" w:rsidRDefault="00D17E75">
      <w:pPr>
        <w:tabs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Artículo 9. Las cuentas.</w:t>
      </w:r>
    </w:p>
    <w:p w14:paraId="0000003B" w14:textId="77777777" w:rsidR="004153A0" w:rsidRDefault="00D17E75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Los informes de las cuentas se presentarán a los socios cada mes, previamente supervisados por la junta directiva.</w:t>
      </w:r>
    </w:p>
    <w:p w14:paraId="0000003C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14:paraId="0000003D" w14:textId="77777777" w:rsidR="004153A0" w:rsidRDefault="00D17E75">
      <w:pPr>
        <w:numPr>
          <w:ilvl w:val="0"/>
          <w:numId w:val="7"/>
        </w:numPr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Capítulo 6: 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Transformación y disolución</w:t>
      </w:r>
    </w:p>
    <w:p w14:paraId="0000003E" w14:textId="77777777" w:rsidR="004153A0" w:rsidRDefault="004153A0">
      <w:pPr>
        <w:spacing w:line="240" w:lineRule="auto"/>
        <w:ind w:left="360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0000003F" w14:textId="77777777" w:rsidR="004153A0" w:rsidRDefault="00D17E75">
      <w:pPr>
        <w:tabs>
          <w:tab w:val="left" w:pos="720"/>
        </w:tabs>
        <w:spacing w:line="240" w:lineRule="auto"/>
        <w:ind w:left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Artículo 10. Disolución.                                                                       </w:t>
      </w:r>
    </w:p>
    <w:p w14:paraId="00000040" w14:textId="77777777" w:rsidR="004153A0" w:rsidRDefault="00D17E75">
      <w:pPr>
        <w:tabs>
          <w:tab w:val="left" w:pos="720"/>
        </w:tabs>
        <w:spacing w:line="240" w:lineRule="auto"/>
        <w:ind w:left="72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La </w:t>
      </w:r>
      <w:r>
        <w:rPr>
          <w:rFonts w:ascii="Comic Sans MS" w:eastAsia="Comic Sans MS" w:hAnsi="Comic Sans MS" w:cs="Comic Sans MS"/>
          <w:sz w:val="28"/>
          <w:szCs w:val="28"/>
        </w:rPr>
        <w:t>disolución de la cooperativa se llevará a cabo en la fecha acordada por los socios y conforme a lo establecido en el artículo 6 en lo relativo a la distribución de los beneficios.</w:t>
      </w:r>
    </w:p>
    <w:p w14:paraId="00000041" w14:textId="77777777" w:rsidR="004153A0" w:rsidRDefault="004153A0">
      <w:p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42" w14:textId="77777777" w:rsidR="004153A0" w:rsidRDefault="00D17E75">
      <w:p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Firmado en representación de todos los socios por el presidente D. Javier L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una Abreu:</w:t>
      </w:r>
    </w:p>
    <w:p w14:paraId="00000043" w14:textId="77777777" w:rsidR="004153A0" w:rsidRDefault="004153A0">
      <w:p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44" w14:textId="77777777" w:rsidR="004153A0" w:rsidRDefault="00D17E75">
      <w:pPr>
        <w:tabs>
          <w:tab w:val="left" w:pos="720"/>
        </w:tabs>
        <w:spacing w:line="240" w:lineRule="auto"/>
        <w:jc w:val="right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En Gijón, a 4 de diciembre de 2020</w:t>
      </w:r>
    </w:p>
    <w:p w14:paraId="00000045" w14:textId="77777777" w:rsidR="004153A0" w:rsidRDefault="004153A0">
      <w:pPr>
        <w:tabs>
          <w:tab w:val="left" w:pos="720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46" w14:textId="77777777" w:rsidR="004153A0" w:rsidRDefault="004153A0">
      <w:pPr>
        <w:tabs>
          <w:tab w:val="left" w:pos="360"/>
          <w:tab w:val="left" w:pos="720"/>
        </w:tabs>
        <w:spacing w:line="240" w:lineRule="auto"/>
        <w:ind w:left="720"/>
        <w:jc w:val="both"/>
        <w:rPr>
          <w:sz w:val="28"/>
          <w:szCs w:val="28"/>
        </w:rPr>
      </w:pPr>
    </w:p>
    <w:p w14:paraId="00000047" w14:textId="77777777" w:rsidR="004153A0" w:rsidRDefault="004153A0">
      <w:pPr>
        <w:spacing w:line="240" w:lineRule="auto"/>
        <w:rPr>
          <w:sz w:val="28"/>
          <w:szCs w:val="28"/>
        </w:rPr>
      </w:pPr>
    </w:p>
    <w:p w14:paraId="00000048" w14:textId="77777777" w:rsidR="004153A0" w:rsidRDefault="004153A0">
      <w:pPr>
        <w:spacing w:line="240" w:lineRule="auto"/>
        <w:jc w:val="both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49" w14:textId="77777777" w:rsidR="004153A0" w:rsidRDefault="004153A0">
      <w:pPr>
        <w:spacing w:line="240" w:lineRule="auto"/>
        <w:rPr>
          <w:sz w:val="28"/>
          <w:szCs w:val="28"/>
        </w:rPr>
      </w:pPr>
    </w:p>
    <w:p w14:paraId="0000004A" w14:textId="77777777" w:rsidR="004153A0" w:rsidRDefault="004153A0">
      <w:pPr>
        <w:spacing w:line="240" w:lineRule="auto"/>
        <w:rPr>
          <w:sz w:val="28"/>
          <w:szCs w:val="28"/>
        </w:rPr>
      </w:pPr>
    </w:p>
    <w:p w14:paraId="0000004B" w14:textId="77777777" w:rsidR="004153A0" w:rsidRDefault="004153A0">
      <w:pPr>
        <w:spacing w:line="240" w:lineRule="auto"/>
        <w:ind w:left="1080"/>
        <w:rPr>
          <w:sz w:val="28"/>
          <w:szCs w:val="28"/>
        </w:rPr>
      </w:pPr>
    </w:p>
    <w:p w14:paraId="0000004C" w14:textId="77777777" w:rsidR="004153A0" w:rsidRDefault="00D17E75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000004D" w14:textId="77777777" w:rsidR="004153A0" w:rsidRDefault="004153A0">
      <w:pPr>
        <w:rPr>
          <w:sz w:val="24"/>
          <w:szCs w:val="24"/>
        </w:rPr>
      </w:pPr>
    </w:p>
    <w:sectPr w:rsidR="004153A0" w:rsidSect="005F28D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8BB0" w14:textId="77777777" w:rsidR="00D17E75" w:rsidRDefault="00D17E75">
      <w:pPr>
        <w:spacing w:line="240" w:lineRule="auto"/>
      </w:pPr>
      <w:r>
        <w:separator/>
      </w:r>
    </w:p>
  </w:endnote>
  <w:endnote w:type="continuationSeparator" w:id="0">
    <w:p w14:paraId="52CCAC97" w14:textId="77777777" w:rsidR="00D17E75" w:rsidRDefault="00D1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E" w14:textId="3BE0CEE2" w:rsidR="004153A0" w:rsidRDefault="00D17E75">
    <w:pPr>
      <w:jc w:val="right"/>
    </w:pPr>
    <w:r>
      <w:fldChar w:fldCharType="begin"/>
    </w:r>
    <w:r>
      <w:instrText>PAGE</w:instrText>
    </w:r>
    <w:r w:rsidR="00055191">
      <w:fldChar w:fldCharType="separate"/>
    </w:r>
    <w:r w:rsidR="000551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FCA3" w14:textId="77777777" w:rsidR="00D17E75" w:rsidRDefault="00D17E75">
      <w:pPr>
        <w:spacing w:line="240" w:lineRule="auto"/>
      </w:pPr>
      <w:r>
        <w:separator/>
      </w:r>
    </w:p>
  </w:footnote>
  <w:footnote w:type="continuationSeparator" w:id="0">
    <w:p w14:paraId="5EAB113D" w14:textId="77777777" w:rsidR="00D17E75" w:rsidRDefault="00D17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F" w14:textId="77777777" w:rsidR="004153A0" w:rsidRDefault="00D17E75" w:rsidP="005F28D1">
    <w:pPr>
      <w:jc w:val="right"/>
      <w:rPr>
        <w:rFonts w:ascii="Comic Sans MS" w:eastAsia="Comic Sans MS" w:hAnsi="Comic Sans MS" w:cs="Comic Sans MS"/>
        <w:b/>
      </w:rPr>
    </w:pPr>
    <w:r>
      <w:rPr>
        <w:rFonts w:ascii="Comic Sans MS" w:eastAsia="Comic Sans MS" w:hAnsi="Comic Sans MS" w:cs="Comic Sans MS"/>
        <w:b/>
      </w:rPr>
      <w:t>Colegio Inmaculada</w:t>
    </w:r>
  </w:p>
  <w:p w14:paraId="00000050" w14:textId="77777777" w:rsidR="004153A0" w:rsidRDefault="00D17E75" w:rsidP="005F28D1">
    <w:pPr>
      <w:jc w:val="right"/>
      <w:rPr>
        <w:rFonts w:ascii="Comic Sans MS" w:eastAsia="Comic Sans MS" w:hAnsi="Comic Sans MS" w:cs="Comic Sans MS"/>
        <w:b/>
      </w:rPr>
    </w:pPr>
    <w:r>
      <w:rPr>
        <w:rFonts w:ascii="Comic Sans MS" w:eastAsia="Comic Sans MS" w:hAnsi="Comic Sans MS" w:cs="Comic Sans MS"/>
        <w:b/>
      </w:rPr>
      <w:t>ECONOMÍA 4º E.S.O. Proyecto JES (2020-2021)</w:t>
    </w:r>
  </w:p>
  <w:p w14:paraId="00000051" w14:textId="77777777" w:rsidR="004153A0" w:rsidRDefault="00415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34C8"/>
    <w:multiLevelType w:val="multilevel"/>
    <w:tmpl w:val="39C83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C76ED0"/>
    <w:multiLevelType w:val="multilevel"/>
    <w:tmpl w:val="C8724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8E5449"/>
    <w:multiLevelType w:val="multilevel"/>
    <w:tmpl w:val="5A4A5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C9616A6"/>
    <w:multiLevelType w:val="multilevel"/>
    <w:tmpl w:val="2BE2C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D594FCE"/>
    <w:multiLevelType w:val="multilevel"/>
    <w:tmpl w:val="CECCDECA"/>
    <w:lvl w:ilvl="0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9CA1CD2"/>
    <w:multiLevelType w:val="multilevel"/>
    <w:tmpl w:val="A8FC7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FAB0931"/>
    <w:multiLevelType w:val="multilevel"/>
    <w:tmpl w:val="89BEE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A0"/>
    <w:rsid w:val="00055191"/>
    <w:rsid w:val="004153A0"/>
    <w:rsid w:val="005F28D1"/>
    <w:rsid w:val="00D17E75"/>
    <w:rsid w:val="00F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B498D-56F8-4093-BE7E-695078CE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F28D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8D1"/>
  </w:style>
  <w:style w:type="paragraph" w:styleId="Piedepgina">
    <w:name w:val="footer"/>
    <w:basedOn w:val="Normal"/>
    <w:link w:val="PiedepginaCar"/>
    <w:uiPriority w:val="99"/>
    <w:unhideWhenUsed/>
    <w:rsid w:val="005F28D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VILLAR</dc:creator>
  <cp:lastModifiedBy>JOSÉ LUIS RODRÍGUEZ VILLAR</cp:lastModifiedBy>
  <cp:revision>2</cp:revision>
  <dcterms:created xsi:type="dcterms:W3CDTF">2021-01-10T09:27:00Z</dcterms:created>
  <dcterms:modified xsi:type="dcterms:W3CDTF">2021-01-10T09:27:00Z</dcterms:modified>
</cp:coreProperties>
</file>